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0EE7" w:rsidRPr="001F3CA4" w:rsidRDefault="00580EE7" w:rsidP="00580EE7">
      <w:pPr>
        <w:shd w:val="clear" w:color="auto" w:fill="FFFFFF"/>
        <w:spacing w:after="0" w:line="312" w:lineRule="atLeast"/>
        <w:textAlignment w:val="baseline"/>
        <w:rPr>
          <w:rFonts w:ascii="Trebuchet MS" w:eastAsia="Times New Roman" w:hAnsi="Trebuchet MS" w:cs="Helvetica"/>
          <w:color w:val="555555"/>
          <w:sz w:val="24"/>
          <w:szCs w:val="24"/>
        </w:rPr>
      </w:pPr>
      <w:r w:rsidRPr="001F3CA4">
        <w:rPr>
          <w:rFonts w:ascii="Trebuchet MS" w:eastAsia="Times New Roman" w:hAnsi="Trebuchet MS" w:cs="Helvetica"/>
          <w:color w:val="555555"/>
          <w:sz w:val="24"/>
          <w:szCs w:val="24"/>
        </w:rPr>
        <w:t>There are four measurement scales (or types of data): nominal, ordinal, interval and ratio.  These are simply ways to categorize different types of variables.  </w:t>
      </w:r>
    </w:p>
    <w:p w:rsidR="00580EE7" w:rsidRPr="001F3CA4" w:rsidRDefault="00580EE7" w:rsidP="00580EE7">
      <w:pPr>
        <w:rPr>
          <w:rFonts w:ascii="Trebuchet MS" w:hAnsi="Trebuchet MS"/>
          <w:sz w:val="24"/>
          <w:szCs w:val="24"/>
        </w:rPr>
      </w:pPr>
    </w:p>
    <w:p w:rsidR="00580EE7" w:rsidRPr="001F3CA4" w:rsidRDefault="00580EE7" w:rsidP="00580EE7">
      <w:pPr>
        <w:shd w:val="clear" w:color="auto" w:fill="FFFFFF"/>
        <w:spacing w:after="0" w:line="312" w:lineRule="atLeast"/>
        <w:textAlignment w:val="baseline"/>
        <w:rPr>
          <w:rFonts w:ascii="Trebuchet MS" w:eastAsia="Times New Roman" w:hAnsi="Trebuchet MS" w:cs="Helvetica"/>
          <w:color w:val="555555"/>
          <w:sz w:val="24"/>
          <w:szCs w:val="24"/>
        </w:rPr>
      </w:pPr>
      <w:r w:rsidRPr="001F3CA4">
        <w:rPr>
          <w:rFonts w:ascii="Trebuchet MS" w:eastAsia="Times New Roman" w:hAnsi="Trebuchet MS" w:cs="Helvetica"/>
          <w:b/>
          <w:bCs/>
          <w:color w:val="555555"/>
          <w:sz w:val="24"/>
          <w:szCs w:val="24"/>
          <w:u w:val="single"/>
          <w:bdr w:val="none" w:sz="0" w:space="0" w:color="auto" w:frame="1"/>
        </w:rPr>
        <w:t>Nominal</w:t>
      </w:r>
      <w:r w:rsidRPr="001F3CA4">
        <w:rPr>
          <w:rFonts w:ascii="Trebuchet MS" w:eastAsia="Times New Roman" w:hAnsi="Trebuchet MS" w:cs="Helvetica"/>
          <w:color w:val="555555"/>
          <w:sz w:val="24"/>
          <w:szCs w:val="24"/>
        </w:rPr>
        <w:br/>
      </w:r>
      <w:proofErr w:type="gramStart"/>
      <w:r w:rsidRPr="001F3CA4">
        <w:rPr>
          <w:rFonts w:ascii="Trebuchet MS" w:eastAsia="Times New Roman" w:hAnsi="Trebuchet MS" w:cs="Helvetica"/>
          <w:color w:val="555555"/>
          <w:sz w:val="24"/>
          <w:szCs w:val="24"/>
        </w:rPr>
        <w:t>Let’s</w:t>
      </w:r>
      <w:proofErr w:type="gramEnd"/>
      <w:r w:rsidRPr="001F3CA4">
        <w:rPr>
          <w:rFonts w:ascii="Trebuchet MS" w:eastAsia="Times New Roman" w:hAnsi="Trebuchet MS" w:cs="Helvetica"/>
          <w:color w:val="555555"/>
          <w:sz w:val="24"/>
          <w:szCs w:val="24"/>
        </w:rPr>
        <w:t xml:space="preserve"> start with the easiest one to understand.  Nominal scales are used for labeling variables, without </w:t>
      </w:r>
      <w:proofErr w:type="spellStart"/>
      <w:r w:rsidRPr="001F3CA4">
        <w:rPr>
          <w:rFonts w:ascii="Trebuchet MS" w:eastAsia="Times New Roman" w:hAnsi="Trebuchet MS" w:cs="Helvetica"/>
          <w:color w:val="555555"/>
          <w:sz w:val="24"/>
          <w:szCs w:val="24"/>
        </w:rPr>
        <w:t>any</w:t>
      </w:r>
      <w:hyperlink r:id="rId4" w:tooltip="Quantitative vs. Qualitative Research: What’s the Difference?" w:history="1">
        <w:r w:rsidRPr="001F3CA4">
          <w:rPr>
            <w:rFonts w:ascii="Trebuchet MS" w:eastAsia="Times New Roman" w:hAnsi="Trebuchet MS" w:cs="Helvetica"/>
            <w:color w:val="4581B9"/>
            <w:sz w:val="24"/>
            <w:szCs w:val="24"/>
            <w:bdr w:val="none" w:sz="0" w:space="0" w:color="auto" w:frame="1"/>
          </w:rPr>
          <w:t>quantitative</w:t>
        </w:r>
        <w:proofErr w:type="spellEnd"/>
      </w:hyperlink>
      <w:r w:rsidRPr="001F3CA4">
        <w:rPr>
          <w:rFonts w:ascii="Trebuchet MS" w:eastAsia="Times New Roman" w:hAnsi="Trebuchet MS" w:cs="Helvetica"/>
          <w:color w:val="555555"/>
          <w:sz w:val="24"/>
          <w:szCs w:val="24"/>
        </w:rPr>
        <w:t> value.  ”Nominal” scales could simply be called “labels.”  Here are some examples, below.  Notice that all of these scales are mutually exclusive (no overlap) and none of them have any numerical significance.  A good way to remember all of this is that “nominal” sounds a lot like “name” and nominal scales are kind of like “names” or labels.</w:t>
      </w:r>
    </w:p>
    <w:p w:rsidR="00580EE7" w:rsidRPr="001F3CA4" w:rsidRDefault="00580EE7" w:rsidP="00580EE7">
      <w:pPr>
        <w:shd w:val="clear" w:color="auto" w:fill="FFFFFF"/>
        <w:spacing w:after="0" w:line="312" w:lineRule="atLeast"/>
        <w:jc w:val="center"/>
        <w:textAlignment w:val="baseline"/>
        <w:rPr>
          <w:rFonts w:ascii="Trebuchet MS" w:eastAsia="Times New Roman" w:hAnsi="Trebuchet MS" w:cs="Helvetica"/>
          <w:color w:val="555555"/>
          <w:sz w:val="24"/>
          <w:szCs w:val="24"/>
        </w:rPr>
      </w:pPr>
      <w:r w:rsidRPr="001F3CA4">
        <w:rPr>
          <w:rFonts w:ascii="Trebuchet MS" w:eastAsia="Times New Roman" w:hAnsi="Trebuchet MS" w:cs="Helvetica"/>
          <w:noProof/>
          <w:color w:val="4581B9"/>
          <w:sz w:val="24"/>
          <w:szCs w:val="24"/>
          <w:bdr w:val="none" w:sz="0" w:space="0" w:color="auto" w:frame="1"/>
        </w:rPr>
        <w:drawing>
          <wp:inline distT="0" distB="0" distL="0" distR="0" wp14:anchorId="52F473ED" wp14:editId="071031D4">
            <wp:extent cx="6696075" cy="1600200"/>
            <wp:effectExtent l="0" t="0" r="9525" b="0"/>
            <wp:docPr id="5" name="Picture 5" descr="Examples of Nominal Scales">
              <a:hlinkClick xmlns:a="http://schemas.openxmlformats.org/drawingml/2006/main" r:id="rId5" tooltip="&quot;Examples of Nominal Scale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xamples of Nominal Scales">
                      <a:hlinkClick r:id="rId5" tooltip="&quot;Examples of Nominal Scales&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696075" cy="1600200"/>
                    </a:xfrm>
                    <a:prstGeom prst="rect">
                      <a:avLst/>
                    </a:prstGeom>
                    <a:noFill/>
                    <a:ln>
                      <a:noFill/>
                    </a:ln>
                  </pic:spPr>
                </pic:pic>
              </a:graphicData>
            </a:graphic>
          </wp:inline>
        </w:drawing>
      </w:r>
    </w:p>
    <w:p w:rsidR="00580EE7" w:rsidRPr="001F3CA4" w:rsidRDefault="00580EE7" w:rsidP="00580EE7">
      <w:pPr>
        <w:shd w:val="clear" w:color="auto" w:fill="FFFFFF"/>
        <w:spacing w:line="312" w:lineRule="atLeast"/>
        <w:jc w:val="center"/>
        <w:textAlignment w:val="baseline"/>
        <w:rPr>
          <w:rFonts w:ascii="Trebuchet MS" w:eastAsia="Times New Roman" w:hAnsi="Trebuchet MS" w:cs="Helvetica"/>
          <w:color w:val="666666"/>
          <w:sz w:val="24"/>
          <w:szCs w:val="24"/>
        </w:rPr>
      </w:pPr>
      <w:r w:rsidRPr="001F3CA4">
        <w:rPr>
          <w:rFonts w:ascii="Trebuchet MS" w:eastAsia="Times New Roman" w:hAnsi="Trebuchet MS" w:cs="Helvetica"/>
          <w:color w:val="666666"/>
          <w:sz w:val="24"/>
          <w:szCs w:val="24"/>
        </w:rPr>
        <w:t>Examples of Nominal Scales</w:t>
      </w:r>
    </w:p>
    <w:p w:rsidR="00580EE7" w:rsidRPr="001F3CA4" w:rsidRDefault="00580EE7" w:rsidP="00C17AC9">
      <w:pPr>
        <w:shd w:val="clear" w:color="auto" w:fill="FFFFFF"/>
        <w:spacing w:after="0" w:line="312" w:lineRule="atLeast"/>
        <w:textAlignment w:val="baseline"/>
        <w:rPr>
          <w:rFonts w:ascii="Trebuchet MS" w:eastAsia="Times New Roman" w:hAnsi="Trebuchet MS" w:cs="Helvetica"/>
          <w:color w:val="555555"/>
          <w:sz w:val="24"/>
          <w:szCs w:val="24"/>
        </w:rPr>
      </w:pPr>
      <w:r w:rsidRPr="001F3CA4">
        <w:rPr>
          <w:rFonts w:ascii="Trebuchet MS" w:eastAsia="Times New Roman" w:hAnsi="Trebuchet MS" w:cs="Helvetica"/>
          <w:i/>
          <w:iCs/>
          <w:color w:val="555555"/>
          <w:sz w:val="24"/>
          <w:szCs w:val="24"/>
          <w:bdr w:val="none" w:sz="0" w:space="0" w:color="auto" w:frame="1"/>
        </w:rPr>
        <w:t>Note</w:t>
      </w:r>
      <w:r w:rsidRPr="001F3CA4">
        <w:rPr>
          <w:rFonts w:ascii="Trebuchet MS" w:eastAsia="Times New Roman" w:hAnsi="Trebuchet MS" w:cs="Helvetica"/>
          <w:color w:val="555555"/>
          <w:sz w:val="24"/>
          <w:szCs w:val="24"/>
        </w:rPr>
        <w:t>: a sub-type of nominal scale with only two categories (e.g. male/female) is called “</w:t>
      </w:r>
      <w:r w:rsidRPr="001F3CA4">
        <w:rPr>
          <w:rFonts w:ascii="Trebuchet MS" w:eastAsia="Times New Roman" w:hAnsi="Trebuchet MS" w:cs="Helvetica"/>
          <w:b/>
          <w:bCs/>
          <w:color w:val="555555"/>
          <w:sz w:val="24"/>
          <w:szCs w:val="24"/>
          <w:bdr w:val="none" w:sz="0" w:space="0" w:color="auto" w:frame="1"/>
        </w:rPr>
        <w:t>dichotomous</w:t>
      </w:r>
      <w:r w:rsidRPr="001F3CA4">
        <w:rPr>
          <w:rFonts w:ascii="Trebuchet MS" w:eastAsia="Times New Roman" w:hAnsi="Trebuchet MS" w:cs="Helvetica"/>
          <w:color w:val="555555"/>
          <w:sz w:val="24"/>
          <w:szCs w:val="24"/>
        </w:rPr>
        <w:t>.”  </w:t>
      </w:r>
    </w:p>
    <w:p w:rsidR="00F24BF2" w:rsidRDefault="00F24BF2" w:rsidP="00580EE7">
      <w:pPr>
        <w:shd w:val="clear" w:color="auto" w:fill="FFFFFF"/>
        <w:spacing w:after="0" w:line="312" w:lineRule="atLeast"/>
        <w:textAlignment w:val="baseline"/>
        <w:rPr>
          <w:rFonts w:ascii="Trebuchet MS" w:eastAsia="Times New Roman" w:hAnsi="Trebuchet MS" w:cs="Helvetica"/>
          <w:b/>
          <w:bCs/>
          <w:color w:val="555555"/>
          <w:sz w:val="24"/>
          <w:szCs w:val="24"/>
          <w:u w:val="single"/>
          <w:bdr w:val="none" w:sz="0" w:space="0" w:color="auto" w:frame="1"/>
        </w:rPr>
      </w:pPr>
    </w:p>
    <w:p w:rsidR="00580EE7" w:rsidRPr="001F3CA4" w:rsidRDefault="00580EE7" w:rsidP="00580EE7">
      <w:pPr>
        <w:shd w:val="clear" w:color="auto" w:fill="FFFFFF"/>
        <w:spacing w:after="0" w:line="312" w:lineRule="atLeast"/>
        <w:textAlignment w:val="baseline"/>
        <w:rPr>
          <w:rFonts w:ascii="Trebuchet MS" w:eastAsia="Times New Roman" w:hAnsi="Trebuchet MS" w:cs="Helvetica"/>
          <w:color w:val="555555"/>
          <w:sz w:val="24"/>
          <w:szCs w:val="24"/>
        </w:rPr>
      </w:pPr>
      <w:r w:rsidRPr="001F3CA4">
        <w:rPr>
          <w:rFonts w:ascii="Trebuchet MS" w:eastAsia="Times New Roman" w:hAnsi="Trebuchet MS" w:cs="Helvetica"/>
          <w:b/>
          <w:bCs/>
          <w:color w:val="555555"/>
          <w:sz w:val="24"/>
          <w:szCs w:val="24"/>
          <w:u w:val="single"/>
          <w:bdr w:val="none" w:sz="0" w:space="0" w:color="auto" w:frame="1"/>
        </w:rPr>
        <w:t>Ordinal</w:t>
      </w:r>
      <w:r w:rsidRPr="001F3CA4">
        <w:rPr>
          <w:rFonts w:ascii="Trebuchet MS" w:eastAsia="Times New Roman" w:hAnsi="Trebuchet MS" w:cs="Helvetica"/>
          <w:b/>
          <w:bCs/>
          <w:color w:val="555555"/>
          <w:sz w:val="24"/>
          <w:szCs w:val="24"/>
          <w:bdr w:val="none" w:sz="0" w:space="0" w:color="auto" w:frame="1"/>
        </w:rPr>
        <w:br/>
      </w:r>
      <w:r w:rsidRPr="001F3CA4">
        <w:rPr>
          <w:rFonts w:ascii="Trebuchet MS" w:eastAsia="Times New Roman" w:hAnsi="Trebuchet MS" w:cs="Helvetica"/>
          <w:color w:val="555555"/>
          <w:sz w:val="24"/>
          <w:szCs w:val="24"/>
        </w:rPr>
        <w:t>With ordinal scales, it is the order of the values is what’s important and significant, but the differences between each one is not really known.  Take a look at the example below.  In each case, we know that a #4 is better than a #3 or #2, but we don’t know–and cannot quantify–how </w:t>
      </w:r>
      <w:r w:rsidRPr="001F3CA4">
        <w:rPr>
          <w:rFonts w:ascii="Trebuchet MS" w:eastAsia="Times New Roman" w:hAnsi="Trebuchet MS" w:cs="Helvetica"/>
          <w:i/>
          <w:iCs/>
          <w:color w:val="555555"/>
          <w:sz w:val="24"/>
          <w:szCs w:val="24"/>
          <w:bdr w:val="none" w:sz="0" w:space="0" w:color="auto" w:frame="1"/>
        </w:rPr>
        <w:t>much</w:t>
      </w:r>
      <w:r w:rsidRPr="001F3CA4">
        <w:rPr>
          <w:rFonts w:ascii="Trebuchet MS" w:eastAsia="Times New Roman" w:hAnsi="Trebuchet MS" w:cs="Helvetica"/>
          <w:color w:val="555555"/>
          <w:sz w:val="24"/>
          <w:szCs w:val="24"/>
        </w:rPr>
        <w:t> better it is.  For example, is the difference between “OK” and “Unhappy” the same as the difference between “Very Happy” and “Happy?”  We can’t say.</w:t>
      </w:r>
    </w:p>
    <w:p w:rsidR="00580EE7" w:rsidRPr="001F3CA4" w:rsidRDefault="00580EE7" w:rsidP="00580EE7">
      <w:pPr>
        <w:shd w:val="clear" w:color="auto" w:fill="FFFFFF"/>
        <w:spacing w:after="225" w:line="312" w:lineRule="atLeast"/>
        <w:textAlignment w:val="baseline"/>
        <w:rPr>
          <w:rFonts w:ascii="Trebuchet MS" w:eastAsia="Times New Roman" w:hAnsi="Trebuchet MS" w:cs="Helvetica"/>
          <w:color w:val="555555"/>
          <w:sz w:val="24"/>
          <w:szCs w:val="24"/>
        </w:rPr>
      </w:pPr>
      <w:r w:rsidRPr="001F3CA4">
        <w:rPr>
          <w:rFonts w:ascii="Trebuchet MS" w:eastAsia="Times New Roman" w:hAnsi="Trebuchet MS" w:cs="Helvetica"/>
          <w:color w:val="555555"/>
          <w:sz w:val="24"/>
          <w:szCs w:val="24"/>
        </w:rPr>
        <w:t>Ordinal scales are typically measures of non-numeric concepts like satisfaction, happiness, discomfort, etc.</w:t>
      </w:r>
    </w:p>
    <w:p w:rsidR="00580EE7" w:rsidRPr="001F3CA4" w:rsidRDefault="00580EE7" w:rsidP="00580EE7">
      <w:pPr>
        <w:shd w:val="clear" w:color="auto" w:fill="FFFFFF"/>
        <w:spacing w:after="0" w:line="312" w:lineRule="atLeast"/>
        <w:textAlignment w:val="baseline"/>
        <w:rPr>
          <w:rFonts w:ascii="Trebuchet MS" w:eastAsia="Times New Roman" w:hAnsi="Trebuchet MS" w:cs="Helvetica"/>
          <w:color w:val="555555"/>
          <w:sz w:val="24"/>
          <w:szCs w:val="24"/>
        </w:rPr>
      </w:pPr>
      <w:r w:rsidRPr="001F3CA4">
        <w:rPr>
          <w:rFonts w:ascii="Trebuchet MS" w:eastAsia="Times New Roman" w:hAnsi="Trebuchet MS" w:cs="Helvetica"/>
          <w:color w:val="555555"/>
          <w:sz w:val="24"/>
          <w:szCs w:val="24"/>
        </w:rPr>
        <w:t xml:space="preserve">“Ordinal” is easy to remember because </w:t>
      </w:r>
      <w:proofErr w:type="spellStart"/>
      <w:r w:rsidRPr="001F3CA4">
        <w:rPr>
          <w:rFonts w:ascii="Trebuchet MS" w:eastAsia="Times New Roman" w:hAnsi="Trebuchet MS" w:cs="Helvetica"/>
          <w:color w:val="555555"/>
          <w:sz w:val="24"/>
          <w:szCs w:val="24"/>
        </w:rPr>
        <w:t>is</w:t>
      </w:r>
      <w:proofErr w:type="spellEnd"/>
      <w:r w:rsidRPr="001F3CA4">
        <w:rPr>
          <w:rFonts w:ascii="Trebuchet MS" w:eastAsia="Times New Roman" w:hAnsi="Trebuchet MS" w:cs="Helvetica"/>
          <w:color w:val="555555"/>
          <w:sz w:val="24"/>
          <w:szCs w:val="24"/>
        </w:rPr>
        <w:t xml:space="preserve"> sounds like “order” and that’s the key to remember with “ordinal scales”–it is the </w:t>
      </w:r>
      <w:r w:rsidRPr="001F3CA4">
        <w:rPr>
          <w:rFonts w:ascii="Trebuchet MS" w:eastAsia="Times New Roman" w:hAnsi="Trebuchet MS" w:cs="Helvetica"/>
          <w:i/>
          <w:iCs/>
          <w:color w:val="555555"/>
          <w:sz w:val="24"/>
          <w:szCs w:val="24"/>
          <w:bdr w:val="none" w:sz="0" w:space="0" w:color="auto" w:frame="1"/>
        </w:rPr>
        <w:t>order</w:t>
      </w:r>
      <w:r w:rsidRPr="001F3CA4">
        <w:rPr>
          <w:rFonts w:ascii="Trebuchet MS" w:eastAsia="Times New Roman" w:hAnsi="Trebuchet MS" w:cs="Helvetica"/>
          <w:color w:val="555555"/>
          <w:sz w:val="24"/>
          <w:szCs w:val="24"/>
        </w:rPr>
        <w:t> that matters, but that’s all you really get from these.</w:t>
      </w:r>
    </w:p>
    <w:p w:rsidR="00580EE7" w:rsidRPr="001F3CA4" w:rsidRDefault="00580EE7" w:rsidP="00580EE7">
      <w:pPr>
        <w:shd w:val="clear" w:color="auto" w:fill="FFFFFF"/>
        <w:spacing w:after="0" w:line="312" w:lineRule="atLeast"/>
        <w:textAlignment w:val="baseline"/>
        <w:rPr>
          <w:rFonts w:ascii="Trebuchet MS" w:eastAsia="Times New Roman" w:hAnsi="Trebuchet MS" w:cs="Helvetica"/>
          <w:color w:val="555555"/>
          <w:sz w:val="24"/>
          <w:szCs w:val="24"/>
        </w:rPr>
      </w:pPr>
      <w:r w:rsidRPr="001F3CA4">
        <w:rPr>
          <w:rFonts w:ascii="Trebuchet MS" w:eastAsia="Times New Roman" w:hAnsi="Trebuchet MS" w:cs="Helvetica"/>
          <w:i/>
          <w:iCs/>
          <w:color w:val="555555"/>
          <w:sz w:val="24"/>
          <w:szCs w:val="24"/>
          <w:bdr w:val="none" w:sz="0" w:space="0" w:color="auto" w:frame="1"/>
        </w:rPr>
        <w:t>Advanced note</w:t>
      </w:r>
      <w:r w:rsidRPr="001F3CA4">
        <w:rPr>
          <w:rFonts w:ascii="Trebuchet MS" w:eastAsia="Times New Roman" w:hAnsi="Trebuchet MS" w:cs="Helvetica"/>
          <w:color w:val="555555"/>
          <w:sz w:val="24"/>
          <w:szCs w:val="24"/>
        </w:rPr>
        <w:t>: The best way to determine </w:t>
      </w:r>
      <w:r w:rsidRPr="001F3CA4">
        <w:rPr>
          <w:rFonts w:ascii="Trebuchet MS" w:eastAsia="Times New Roman" w:hAnsi="Trebuchet MS" w:cs="Helvetica"/>
          <w:i/>
          <w:iCs/>
          <w:color w:val="555555"/>
          <w:sz w:val="24"/>
          <w:szCs w:val="24"/>
          <w:bdr w:val="none" w:sz="0" w:space="0" w:color="auto" w:frame="1"/>
        </w:rPr>
        <w:t>central tendency</w:t>
      </w:r>
      <w:r w:rsidRPr="001F3CA4">
        <w:rPr>
          <w:rFonts w:ascii="Trebuchet MS" w:eastAsia="Times New Roman" w:hAnsi="Trebuchet MS" w:cs="Helvetica"/>
          <w:color w:val="555555"/>
          <w:sz w:val="24"/>
          <w:szCs w:val="24"/>
        </w:rPr>
        <w:t> on a set of ordinal data is to use the mode or median; the mean cannot be defined from an ordinal set.</w:t>
      </w:r>
    </w:p>
    <w:p w:rsidR="00580EE7" w:rsidRPr="001F3CA4" w:rsidRDefault="00580EE7" w:rsidP="00580EE7">
      <w:pPr>
        <w:shd w:val="clear" w:color="auto" w:fill="FFFFFF"/>
        <w:spacing w:after="0" w:line="312" w:lineRule="atLeast"/>
        <w:jc w:val="center"/>
        <w:textAlignment w:val="baseline"/>
        <w:rPr>
          <w:rFonts w:ascii="Trebuchet MS" w:eastAsia="Times New Roman" w:hAnsi="Trebuchet MS" w:cs="Helvetica"/>
          <w:color w:val="555555"/>
          <w:sz w:val="24"/>
          <w:szCs w:val="24"/>
        </w:rPr>
      </w:pPr>
      <w:r w:rsidRPr="001F3CA4">
        <w:rPr>
          <w:rFonts w:ascii="Trebuchet MS" w:eastAsia="Times New Roman" w:hAnsi="Trebuchet MS" w:cs="Helvetica"/>
          <w:noProof/>
          <w:color w:val="4581B9"/>
          <w:sz w:val="24"/>
          <w:szCs w:val="24"/>
          <w:bdr w:val="none" w:sz="0" w:space="0" w:color="auto" w:frame="1"/>
        </w:rPr>
        <w:drawing>
          <wp:inline distT="0" distB="0" distL="0" distR="0" wp14:anchorId="1354469E" wp14:editId="2325E282">
            <wp:extent cx="4867275" cy="1466850"/>
            <wp:effectExtent l="0" t="0" r="9525" b="0"/>
            <wp:docPr id="4" name="Picture 4" descr="Example of Ordinal Scales">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xample of Ordinal Scales">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7275" cy="1466850"/>
                    </a:xfrm>
                    <a:prstGeom prst="rect">
                      <a:avLst/>
                    </a:prstGeom>
                    <a:noFill/>
                    <a:ln>
                      <a:noFill/>
                    </a:ln>
                  </pic:spPr>
                </pic:pic>
              </a:graphicData>
            </a:graphic>
          </wp:inline>
        </w:drawing>
      </w:r>
    </w:p>
    <w:p w:rsidR="00580EE7" w:rsidRPr="001F3CA4" w:rsidRDefault="00580EE7" w:rsidP="00580EE7">
      <w:pPr>
        <w:shd w:val="clear" w:color="auto" w:fill="FFFFFF"/>
        <w:spacing w:line="312" w:lineRule="atLeast"/>
        <w:jc w:val="center"/>
        <w:textAlignment w:val="baseline"/>
        <w:rPr>
          <w:rFonts w:ascii="Trebuchet MS" w:eastAsia="Times New Roman" w:hAnsi="Trebuchet MS" w:cs="Helvetica"/>
          <w:color w:val="666666"/>
          <w:sz w:val="24"/>
          <w:szCs w:val="24"/>
        </w:rPr>
      </w:pPr>
      <w:r w:rsidRPr="001F3CA4">
        <w:rPr>
          <w:rFonts w:ascii="Trebuchet MS" w:eastAsia="Times New Roman" w:hAnsi="Trebuchet MS" w:cs="Helvetica"/>
          <w:color w:val="666666"/>
          <w:sz w:val="24"/>
          <w:szCs w:val="24"/>
        </w:rPr>
        <w:t>Example of Ordinal Scales</w:t>
      </w:r>
    </w:p>
    <w:p w:rsidR="00580EE7" w:rsidRPr="001F3CA4" w:rsidRDefault="00580EE7" w:rsidP="00580EE7">
      <w:pPr>
        <w:shd w:val="clear" w:color="auto" w:fill="FFFFFF"/>
        <w:spacing w:after="225" w:line="312" w:lineRule="atLeast"/>
        <w:textAlignment w:val="baseline"/>
        <w:rPr>
          <w:rFonts w:ascii="Trebuchet MS" w:eastAsia="Times New Roman" w:hAnsi="Trebuchet MS" w:cs="Helvetica"/>
          <w:color w:val="555555"/>
          <w:sz w:val="24"/>
          <w:szCs w:val="24"/>
        </w:rPr>
      </w:pPr>
      <w:r w:rsidRPr="001F3CA4">
        <w:rPr>
          <w:rFonts w:ascii="Trebuchet MS" w:eastAsia="Times New Roman" w:hAnsi="Trebuchet MS" w:cs="Helvetica"/>
          <w:color w:val="555555"/>
          <w:sz w:val="24"/>
          <w:szCs w:val="24"/>
        </w:rPr>
        <w:t> </w:t>
      </w:r>
    </w:p>
    <w:p w:rsidR="00580EE7" w:rsidRPr="001F3CA4" w:rsidRDefault="00580EE7" w:rsidP="00580EE7">
      <w:pPr>
        <w:shd w:val="clear" w:color="auto" w:fill="FFFFFF"/>
        <w:spacing w:after="0" w:line="312" w:lineRule="atLeast"/>
        <w:textAlignment w:val="baseline"/>
        <w:rPr>
          <w:rFonts w:ascii="Trebuchet MS" w:eastAsia="Times New Roman" w:hAnsi="Trebuchet MS" w:cs="Helvetica"/>
          <w:color w:val="555555"/>
          <w:sz w:val="24"/>
          <w:szCs w:val="24"/>
        </w:rPr>
      </w:pPr>
      <w:r w:rsidRPr="001F3CA4">
        <w:rPr>
          <w:rFonts w:ascii="Trebuchet MS" w:eastAsia="Times New Roman" w:hAnsi="Trebuchet MS" w:cs="Helvetica"/>
          <w:b/>
          <w:bCs/>
          <w:color w:val="555555"/>
          <w:sz w:val="24"/>
          <w:szCs w:val="24"/>
          <w:u w:val="single"/>
          <w:bdr w:val="none" w:sz="0" w:space="0" w:color="auto" w:frame="1"/>
        </w:rPr>
        <w:t>Interval</w:t>
      </w:r>
      <w:r w:rsidRPr="001F3CA4">
        <w:rPr>
          <w:rFonts w:ascii="Trebuchet MS" w:eastAsia="Times New Roman" w:hAnsi="Trebuchet MS" w:cs="Helvetica"/>
          <w:b/>
          <w:bCs/>
          <w:color w:val="555555"/>
          <w:sz w:val="24"/>
          <w:szCs w:val="24"/>
          <w:bdr w:val="none" w:sz="0" w:space="0" w:color="auto" w:frame="1"/>
        </w:rPr>
        <w:br/>
      </w:r>
      <w:proofErr w:type="spellStart"/>
      <w:r w:rsidRPr="001F3CA4">
        <w:rPr>
          <w:rFonts w:ascii="Trebuchet MS" w:eastAsia="Times New Roman" w:hAnsi="Trebuchet MS" w:cs="Helvetica"/>
          <w:color w:val="555555"/>
          <w:sz w:val="24"/>
          <w:szCs w:val="24"/>
        </w:rPr>
        <w:t>Interval</w:t>
      </w:r>
      <w:proofErr w:type="spellEnd"/>
      <w:r w:rsidRPr="001F3CA4">
        <w:rPr>
          <w:rFonts w:ascii="Trebuchet MS" w:eastAsia="Times New Roman" w:hAnsi="Trebuchet MS" w:cs="Helvetica"/>
          <w:color w:val="555555"/>
          <w:sz w:val="24"/>
          <w:szCs w:val="24"/>
        </w:rPr>
        <w:t xml:space="preserve"> scales are numeric scales in which we know not only the order, but also the exact differences between the values.  The classic example of an interval scale is Celsius temperature because the difference between each value is the same.  For example, the difference between 60 and 50 degrees is a measurable 10 degrees, as is the difference between 80 and 70 degrees.  Time is another good example of an interval scale in which the increments are known, consistent, and measurable.</w:t>
      </w:r>
    </w:p>
    <w:p w:rsidR="00580EE7" w:rsidRPr="001F3CA4" w:rsidRDefault="00580EE7" w:rsidP="00580EE7">
      <w:pPr>
        <w:shd w:val="clear" w:color="auto" w:fill="FFFFFF"/>
        <w:spacing w:after="225" w:line="312" w:lineRule="atLeast"/>
        <w:textAlignment w:val="baseline"/>
        <w:rPr>
          <w:rFonts w:ascii="Trebuchet MS" w:eastAsia="Times New Roman" w:hAnsi="Trebuchet MS" w:cs="Helvetica"/>
          <w:color w:val="555555"/>
          <w:sz w:val="24"/>
          <w:szCs w:val="24"/>
        </w:rPr>
      </w:pPr>
      <w:r w:rsidRPr="001F3CA4">
        <w:rPr>
          <w:rFonts w:ascii="Trebuchet MS" w:eastAsia="Times New Roman" w:hAnsi="Trebuchet MS" w:cs="Helvetica"/>
          <w:color w:val="555555"/>
          <w:sz w:val="24"/>
          <w:szCs w:val="24"/>
        </w:rPr>
        <w:lastRenderedPageBreak/>
        <w:t>Here’s the problem with interval scales: they don’t have a “true zero.”  For example, there is no such thing as “no temperature.”  Without a true zero, it is impossible to compute ratios.  With interval data, we can add and subtract, but cannot multiply or divide.  Confused?  Ok, consider this: 10 degrees + 10 degrees = 20 degrees.  No problem there.  20 degrees is not twice as hot as 10 degrees, however, because there is no such thing as “no temperature” when it comes to the Celsius scale.  </w:t>
      </w:r>
      <w:r w:rsidR="00056734">
        <w:rPr>
          <w:rFonts w:ascii="Trebuchet MS" w:eastAsia="Times New Roman" w:hAnsi="Trebuchet MS" w:cs="Helvetica"/>
          <w:color w:val="555555"/>
          <w:sz w:val="24"/>
          <w:szCs w:val="24"/>
        </w:rPr>
        <w:t>I</w:t>
      </w:r>
      <w:r w:rsidRPr="001F3CA4">
        <w:rPr>
          <w:rFonts w:ascii="Trebuchet MS" w:eastAsia="Times New Roman" w:hAnsi="Trebuchet MS" w:cs="Helvetica"/>
          <w:color w:val="555555"/>
          <w:sz w:val="24"/>
          <w:szCs w:val="24"/>
        </w:rPr>
        <w:t>nterval scales are great, but we cannot calculate ratios, which brings us to our last measurement scale…</w:t>
      </w:r>
    </w:p>
    <w:p w:rsidR="00580EE7" w:rsidRPr="000554E0" w:rsidRDefault="00580EE7" w:rsidP="00580EE7">
      <w:pPr>
        <w:shd w:val="clear" w:color="auto" w:fill="FFFFFF"/>
        <w:spacing w:after="0" w:line="312" w:lineRule="atLeast"/>
        <w:jc w:val="center"/>
        <w:textAlignment w:val="baseline"/>
        <w:rPr>
          <w:rFonts w:ascii="inherit" w:eastAsia="Times New Roman" w:hAnsi="inherit" w:cs="Helvetica"/>
          <w:color w:val="555555"/>
          <w:sz w:val="20"/>
          <w:szCs w:val="20"/>
        </w:rPr>
      </w:pPr>
      <w:r w:rsidRPr="000554E0">
        <w:rPr>
          <w:rFonts w:ascii="inherit" w:eastAsia="Times New Roman" w:hAnsi="inherit" w:cs="Helvetica"/>
          <w:noProof/>
          <w:color w:val="4581B9"/>
          <w:sz w:val="20"/>
          <w:szCs w:val="20"/>
          <w:bdr w:val="none" w:sz="0" w:space="0" w:color="auto" w:frame="1"/>
        </w:rPr>
        <w:drawing>
          <wp:inline distT="0" distB="0" distL="0" distR="0" wp14:anchorId="7F6F5729" wp14:editId="6D6FBA1A">
            <wp:extent cx="2143125" cy="2143125"/>
            <wp:effectExtent l="0" t="0" r="9525" b="9525"/>
            <wp:docPr id="3" name="Picture 3" descr="example of interval scal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xample of interval scale">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43125" cy="2143125"/>
                    </a:xfrm>
                    <a:prstGeom prst="rect">
                      <a:avLst/>
                    </a:prstGeom>
                    <a:noFill/>
                    <a:ln>
                      <a:noFill/>
                    </a:ln>
                  </pic:spPr>
                </pic:pic>
              </a:graphicData>
            </a:graphic>
          </wp:inline>
        </w:drawing>
      </w:r>
    </w:p>
    <w:p w:rsidR="00580EE7" w:rsidRPr="000554E0" w:rsidRDefault="00580EE7" w:rsidP="00580EE7">
      <w:pPr>
        <w:shd w:val="clear" w:color="auto" w:fill="FFFFFF"/>
        <w:spacing w:line="312" w:lineRule="atLeast"/>
        <w:jc w:val="center"/>
        <w:textAlignment w:val="baseline"/>
        <w:rPr>
          <w:rFonts w:ascii="Georgia" w:eastAsia="Times New Roman" w:hAnsi="Georgia" w:cs="Helvetica"/>
          <w:color w:val="666666"/>
          <w:sz w:val="18"/>
          <w:szCs w:val="18"/>
        </w:rPr>
      </w:pPr>
      <w:r w:rsidRPr="000554E0">
        <w:rPr>
          <w:rFonts w:ascii="Georgia" w:eastAsia="Times New Roman" w:hAnsi="Georgia" w:cs="Helvetica"/>
          <w:color w:val="666666"/>
          <w:sz w:val="18"/>
          <w:szCs w:val="18"/>
        </w:rPr>
        <w:t>Example of Interval Scale</w:t>
      </w:r>
    </w:p>
    <w:p w:rsidR="00580EE7" w:rsidRPr="000554E0" w:rsidRDefault="00580EE7" w:rsidP="00580EE7">
      <w:pPr>
        <w:shd w:val="clear" w:color="auto" w:fill="FFFFFF"/>
        <w:spacing w:after="225" w:line="312" w:lineRule="atLeast"/>
        <w:textAlignment w:val="baseline"/>
        <w:rPr>
          <w:rFonts w:ascii="inherit" w:eastAsia="Times New Roman" w:hAnsi="inherit" w:cs="Helvetica"/>
          <w:color w:val="555555"/>
          <w:sz w:val="20"/>
          <w:szCs w:val="20"/>
        </w:rPr>
      </w:pPr>
      <w:r w:rsidRPr="000554E0">
        <w:rPr>
          <w:rFonts w:ascii="inherit" w:eastAsia="Times New Roman" w:hAnsi="inherit" w:cs="Helvetica"/>
          <w:color w:val="555555"/>
          <w:sz w:val="20"/>
          <w:szCs w:val="20"/>
        </w:rPr>
        <w:t> </w:t>
      </w:r>
    </w:p>
    <w:p w:rsidR="00580EE7" w:rsidRPr="001F3CA4" w:rsidRDefault="00580EE7" w:rsidP="00580EE7">
      <w:pPr>
        <w:shd w:val="clear" w:color="auto" w:fill="FFFFFF"/>
        <w:spacing w:after="0" w:line="312" w:lineRule="atLeast"/>
        <w:textAlignment w:val="baseline"/>
        <w:rPr>
          <w:rFonts w:ascii="Trebuchet MS" w:eastAsia="Times New Roman" w:hAnsi="Trebuchet MS" w:cs="Helvetica"/>
          <w:color w:val="555555"/>
          <w:sz w:val="24"/>
          <w:szCs w:val="24"/>
        </w:rPr>
      </w:pPr>
      <w:r w:rsidRPr="001F3CA4">
        <w:rPr>
          <w:rFonts w:ascii="Trebuchet MS" w:eastAsia="Times New Roman" w:hAnsi="Trebuchet MS" w:cs="Helvetica"/>
          <w:b/>
          <w:bCs/>
          <w:color w:val="555555"/>
          <w:sz w:val="24"/>
          <w:szCs w:val="24"/>
          <w:u w:val="single"/>
          <w:bdr w:val="none" w:sz="0" w:space="0" w:color="auto" w:frame="1"/>
        </w:rPr>
        <w:t>Ratio</w:t>
      </w:r>
    </w:p>
    <w:p w:rsidR="00580EE7" w:rsidRPr="001F3CA4" w:rsidRDefault="00580EE7" w:rsidP="00580EE7">
      <w:pPr>
        <w:shd w:val="clear" w:color="auto" w:fill="FFFFFF"/>
        <w:spacing w:after="0" w:line="312" w:lineRule="atLeast"/>
        <w:textAlignment w:val="baseline"/>
        <w:rPr>
          <w:rFonts w:ascii="Trebuchet MS" w:eastAsia="Times New Roman" w:hAnsi="Trebuchet MS" w:cs="Helvetica"/>
          <w:color w:val="555555"/>
          <w:sz w:val="24"/>
          <w:szCs w:val="24"/>
        </w:rPr>
      </w:pPr>
      <w:r w:rsidRPr="001F3CA4">
        <w:rPr>
          <w:rFonts w:ascii="Trebuchet MS" w:eastAsia="Times New Roman" w:hAnsi="Trebuchet MS" w:cs="Helvetica"/>
          <w:color w:val="555555"/>
          <w:sz w:val="24"/>
          <w:szCs w:val="24"/>
        </w:rPr>
        <w:t>Ratio scales tell us about the order, they tell us the exact value between units, AND they also have an absolute zero–which allows for a wide range of both </w:t>
      </w:r>
      <w:hyperlink r:id="rId11" w:tooltip="Descriptive vs. Inferential Statistics: What’s the Difference?" w:history="1">
        <w:r w:rsidRPr="001F3CA4">
          <w:rPr>
            <w:rFonts w:ascii="Trebuchet MS" w:eastAsia="Times New Roman" w:hAnsi="Trebuchet MS" w:cs="Helvetica"/>
            <w:color w:val="4581B9"/>
            <w:sz w:val="24"/>
            <w:szCs w:val="24"/>
            <w:bdr w:val="none" w:sz="0" w:space="0" w:color="auto" w:frame="1"/>
          </w:rPr>
          <w:t>descriptive and inferential statistics</w:t>
        </w:r>
      </w:hyperlink>
      <w:r w:rsidRPr="001F3CA4">
        <w:rPr>
          <w:rFonts w:ascii="Trebuchet MS" w:eastAsia="Times New Roman" w:hAnsi="Trebuchet MS" w:cs="Helvetica"/>
          <w:color w:val="555555"/>
          <w:sz w:val="24"/>
          <w:szCs w:val="24"/>
        </w:rPr>
        <w:t> to be applied.  </w:t>
      </w:r>
      <w:r w:rsidR="00E501A1">
        <w:rPr>
          <w:rFonts w:ascii="Trebuchet MS" w:eastAsia="Times New Roman" w:hAnsi="Trebuchet MS" w:cs="Helvetica"/>
          <w:color w:val="555555"/>
          <w:sz w:val="24"/>
          <w:szCs w:val="24"/>
        </w:rPr>
        <w:t>E</w:t>
      </w:r>
      <w:r w:rsidRPr="001F3CA4">
        <w:rPr>
          <w:rFonts w:ascii="Trebuchet MS" w:eastAsia="Times New Roman" w:hAnsi="Trebuchet MS" w:cs="Helvetica"/>
          <w:color w:val="555555"/>
          <w:sz w:val="24"/>
          <w:szCs w:val="24"/>
        </w:rPr>
        <w:t>verything above about interval data applies to ratio scales + ratio scales have a clear definition of zero.  Good examples of ratio variables include height and weight.</w:t>
      </w:r>
    </w:p>
    <w:p w:rsidR="00580EE7" w:rsidRPr="001F3CA4" w:rsidRDefault="007A53C6" w:rsidP="00580EE7">
      <w:pPr>
        <w:shd w:val="clear" w:color="auto" w:fill="FFFFFF"/>
        <w:spacing w:after="225" w:line="312" w:lineRule="atLeast"/>
        <w:textAlignment w:val="baseline"/>
        <w:rPr>
          <w:rFonts w:ascii="Trebuchet MS" w:eastAsia="Times New Roman" w:hAnsi="Trebuchet MS" w:cs="Helvetica"/>
          <w:color w:val="555555"/>
          <w:sz w:val="24"/>
          <w:szCs w:val="24"/>
        </w:rPr>
      </w:pPr>
      <w:r>
        <w:rPr>
          <w:rFonts w:ascii="Trebuchet MS" w:eastAsia="Times New Roman" w:hAnsi="Trebuchet MS" w:cs="Helvetica"/>
          <w:color w:val="555555"/>
          <w:sz w:val="24"/>
          <w:szCs w:val="24"/>
        </w:rPr>
        <w:t>Variables measured on r</w:t>
      </w:r>
      <w:r w:rsidR="00580EE7" w:rsidRPr="001F3CA4">
        <w:rPr>
          <w:rFonts w:ascii="Trebuchet MS" w:eastAsia="Times New Roman" w:hAnsi="Trebuchet MS" w:cs="Helvetica"/>
          <w:color w:val="555555"/>
          <w:sz w:val="24"/>
          <w:szCs w:val="24"/>
        </w:rPr>
        <w:t>atio scales provide a wealth of possibilities when it comes to statistical analysis.  These variables can be meaningfully added, subtracted, multiplied, divided (ratios).  Central tendency can be measured by mode, median, or mean; measures of dispersion, such as standard deviation and coefficient of variation can also be calculated from ratio scales.</w:t>
      </w:r>
    </w:p>
    <w:p w:rsidR="00580EE7" w:rsidRPr="000554E0" w:rsidRDefault="00580EE7" w:rsidP="00580EE7">
      <w:pPr>
        <w:shd w:val="clear" w:color="auto" w:fill="FFFFFF"/>
        <w:spacing w:after="0" w:line="312" w:lineRule="atLeast"/>
        <w:jc w:val="center"/>
        <w:textAlignment w:val="baseline"/>
        <w:rPr>
          <w:rFonts w:ascii="inherit" w:eastAsia="Times New Roman" w:hAnsi="inherit" w:cs="Helvetica"/>
          <w:color w:val="555555"/>
          <w:sz w:val="20"/>
          <w:szCs w:val="20"/>
        </w:rPr>
      </w:pPr>
      <w:r w:rsidRPr="000554E0">
        <w:rPr>
          <w:rFonts w:ascii="inherit" w:eastAsia="Times New Roman" w:hAnsi="inherit" w:cs="Helvetica"/>
          <w:noProof/>
          <w:color w:val="4581B9"/>
          <w:sz w:val="20"/>
          <w:szCs w:val="20"/>
          <w:bdr w:val="none" w:sz="0" w:space="0" w:color="auto" w:frame="1"/>
        </w:rPr>
        <w:drawing>
          <wp:inline distT="0" distB="0" distL="0" distR="0" wp14:anchorId="72435B2C" wp14:editId="1D0D9E33">
            <wp:extent cx="1905000" cy="1905000"/>
            <wp:effectExtent l="0" t="0" r="0" b="0"/>
            <wp:docPr id="2" name="Picture 2" descr="Example of Ratio Scales">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xample of Ratio Scales">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580EE7" w:rsidRPr="001F3CA4" w:rsidRDefault="00580EE7" w:rsidP="00580EE7">
      <w:pPr>
        <w:shd w:val="clear" w:color="auto" w:fill="FFFFFF"/>
        <w:spacing w:line="312" w:lineRule="atLeast"/>
        <w:jc w:val="center"/>
        <w:textAlignment w:val="baseline"/>
        <w:rPr>
          <w:rFonts w:ascii="Trebuchet MS" w:eastAsia="Times New Roman" w:hAnsi="Trebuchet MS" w:cs="Helvetica"/>
          <w:color w:val="666666"/>
          <w:sz w:val="24"/>
          <w:szCs w:val="24"/>
        </w:rPr>
      </w:pPr>
      <w:r w:rsidRPr="001F3CA4">
        <w:rPr>
          <w:rFonts w:ascii="Trebuchet MS" w:eastAsia="Times New Roman" w:hAnsi="Trebuchet MS" w:cs="Helvetica"/>
          <w:color w:val="666666"/>
          <w:sz w:val="24"/>
          <w:szCs w:val="24"/>
        </w:rPr>
        <w:t>This Device Provides Two Examples of Ratio Scales (height and weight)</w:t>
      </w:r>
    </w:p>
    <w:p w:rsidR="00580EE7" w:rsidRPr="001F3CA4" w:rsidRDefault="00580EE7" w:rsidP="00580EE7">
      <w:pPr>
        <w:shd w:val="clear" w:color="auto" w:fill="FFFFFF"/>
        <w:spacing w:after="0" w:line="312" w:lineRule="atLeast"/>
        <w:textAlignment w:val="baseline"/>
        <w:rPr>
          <w:rFonts w:ascii="Trebuchet MS" w:eastAsia="Times New Roman" w:hAnsi="Trebuchet MS" w:cs="Helvetica"/>
          <w:color w:val="555555"/>
          <w:sz w:val="24"/>
          <w:szCs w:val="24"/>
        </w:rPr>
      </w:pPr>
      <w:r w:rsidRPr="001F3CA4">
        <w:rPr>
          <w:rFonts w:ascii="Trebuchet MS" w:eastAsia="Times New Roman" w:hAnsi="Trebuchet MS" w:cs="Helvetica"/>
          <w:b/>
          <w:bCs/>
          <w:color w:val="555555"/>
          <w:sz w:val="24"/>
          <w:szCs w:val="24"/>
          <w:u w:val="single"/>
          <w:bdr w:val="none" w:sz="0" w:space="0" w:color="auto" w:frame="1"/>
        </w:rPr>
        <w:t>Summary</w:t>
      </w:r>
    </w:p>
    <w:p w:rsidR="00580EE7" w:rsidRPr="001F3CA4" w:rsidRDefault="00580EE7" w:rsidP="00580EE7">
      <w:pPr>
        <w:shd w:val="clear" w:color="auto" w:fill="FFFFFF"/>
        <w:spacing w:after="0" w:line="312" w:lineRule="atLeast"/>
        <w:textAlignment w:val="baseline"/>
        <w:rPr>
          <w:rFonts w:ascii="Trebuchet MS" w:eastAsia="Times New Roman" w:hAnsi="Trebuchet MS" w:cs="Helvetica"/>
          <w:color w:val="555555"/>
          <w:sz w:val="24"/>
          <w:szCs w:val="24"/>
        </w:rPr>
      </w:pPr>
      <w:r w:rsidRPr="001F3CA4">
        <w:rPr>
          <w:rFonts w:ascii="Trebuchet MS" w:eastAsia="Times New Roman" w:hAnsi="Trebuchet MS" w:cs="Helvetica"/>
          <w:color w:val="555555"/>
          <w:sz w:val="24"/>
          <w:szCs w:val="24"/>
        </w:rPr>
        <w:t>In summary, </w:t>
      </w:r>
      <w:r w:rsidRPr="001F3CA4">
        <w:rPr>
          <w:rFonts w:ascii="Trebuchet MS" w:eastAsia="Times New Roman" w:hAnsi="Trebuchet MS" w:cs="Helvetica"/>
          <w:b/>
          <w:bCs/>
          <w:color w:val="555555"/>
          <w:sz w:val="24"/>
          <w:szCs w:val="24"/>
          <w:bdr w:val="none" w:sz="0" w:space="0" w:color="auto" w:frame="1"/>
        </w:rPr>
        <w:t>nominal</w:t>
      </w:r>
      <w:r w:rsidRPr="001F3CA4">
        <w:rPr>
          <w:rFonts w:ascii="Trebuchet MS" w:eastAsia="Times New Roman" w:hAnsi="Trebuchet MS" w:cs="Helvetica"/>
          <w:color w:val="555555"/>
          <w:sz w:val="24"/>
          <w:szCs w:val="24"/>
        </w:rPr>
        <w:t> variables are used to “</w:t>
      </w:r>
      <w:r w:rsidRPr="001F3CA4">
        <w:rPr>
          <w:rFonts w:ascii="Trebuchet MS" w:eastAsia="Times New Roman" w:hAnsi="Trebuchet MS" w:cs="Helvetica"/>
          <w:i/>
          <w:iCs/>
          <w:color w:val="555555"/>
          <w:sz w:val="24"/>
          <w:szCs w:val="24"/>
          <w:bdr w:val="none" w:sz="0" w:space="0" w:color="auto" w:frame="1"/>
        </w:rPr>
        <w:t>name</w:t>
      </w:r>
      <w:r w:rsidRPr="001F3CA4">
        <w:rPr>
          <w:rFonts w:ascii="Trebuchet MS" w:eastAsia="Times New Roman" w:hAnsi="Trebuchet MS" w:cs="Helvetica"/>
          <w:color w:val="555555"/>
          <w:sz w:val="24"/>
          <w:szCs w:val="24"/>
        </w:rPr>
        <w:t>,” or label a series of values.  </w:t>
      </w:r>
      <w:r w:rsidRPr="001F3CA4">
        <w:rPr>
          <w:rFonts w:ascii="Trebuchet MS" w:eastAsia="Times New Roman" w:hAnsi="Trebuchet MS" w:cs="Helvetica"/>
          <w:b/>
          <w:bCs/>
          <w:color w:val="555555"/>
          <w:sz w:val="24"/>
          <w:szCs w:val="24"/>
          <w:bdr w:val="none" w:sz="0" w:space="0" w:color="auto" w:frame="1"/>
        </w:rPr>
        <w:t>Ordinal</w:t>
      </w:r>
      <w:r w:rsidRPr="001F3CA4">
        <w:rPr>
          <w:rFonts w:ascii="Trebuchet MS" w:eastAsia="Times New Roman" w:hAnsi="Trebuchet MS" w:cs="Helvetica"/>
          <w:color w:val="555555"/>
          <w:sz w:val="24"/>
          <w:szCs w:val="24"/>
        </w:rPr>
        <w:t> scales provide good information about the </w:t>
      </w:r>
      <w:r w:rsidRPr="001F3CA4">
        <w:rPr>
          <w:rFonts w:ascii="Trebuchet MS" w:eastAsia="Times New Roman" w:hAnsi="Trebuchet MS" w:cs="Helvetica"/>
          <w:i/>
          <w:iCs/>
          <w:color w:val="555555"/>
          <w:sz w:val="24"/>
          <w:szCs w:val="24"/>
          <w:bdr w:val="none" w:sz="0" w:space="0" w:color="auto" w:frame="1"/>
        </w:rPr>
        <w:t>order</w:t>
      </w:r>
      <w:r w:rsidRPr="001F3CA4">
        <w:rPr>
          <w:rFonts w:ascii="Trebuchet MS" w:eastAsia="Times New Roman" w:hAnsi="Trebuchet MS" w:cs="Helvetica"/>
          <w:color w:val="555555"/>
          <w:sz w:val="24"/>
          <w:szCs w:val="24"/>
        </w:rPr>
        <w:t> of choices, such as in a customer satisfaction survey.  </w:t>
      </w:r>
      <w:r w:rsidRPr="001F3CA4">
        <w:rPr>
          <w:rFonts w:ascii="Trebuchet MS" w:eastAsia="Times New Roman" w:hAnsi="Trebuchet MS" w:cs="Helvetica"/>
          <w:b/>
          <w:bCs/>
          <w:color w:val="555555"/>
          <w:sz w:val="24"/>
          <w:szCs w:val="24"/>
          <w:bdr w:val="none" w:sz="0" w:space="0" w:color="auto" w:frame="1"/>
        </w:rPr>
        <w:t>Interval</w:t>
      </w:r>
      <w:r w:rsidRPr="001F3CA4">
        <w:rPr>
          <w:rFonts w:ascii="Trebuchet MS" w:eastAsia="Times New Roman" w:hAnsi="Trebuchet MS" w:cs="Helvetica"/>
          <w:color w:val="555555"/>
          <w:sz w:val="24"/>
          <w:szCs w:val="24"/>
        </w:rPr>
        <w:t> scales give us the order of values + the ability to quantify </w:t>
      </w:r>
      <w:r w:rsidRPr="001F3CA4">
        <w:rPr>
          <w:rFonts w:ascii="Trebuchet MS" w:eastAsia="Times New Roman" w:hAnsi="Trebuchet MS" w:cs="Helvetica"/>
          <w:i/>
          <w:iCs/>
          <w:color w:val="555555"/>
          <w:sz w:val="24"/>
          <w:szCs w:val="24"/>
          <w:bdr w:val="none" w:sz="0" w:space="0" w:color="auto" w:frame="1"/>
        </w:rPr>
        <w:t>the difference between each one</w:t>
      </w:r>
      <w:r w:rsidRPr="001F3CA4">
        <w:rPr>
          <w:rFonts w:ascii="Trebuchet MS" w:eastAsia="Times New Roman" w:hAnsi="Trebuchet MS" w:cs="Helvetica"/>
          <w:color w:val="555555"/>
          <w:sz w:val="24"/>
          <w:szCs w:val="24"/>
        </w:rPr>
        <w:t>.  Finally, </w:t>
      </w:r>
      <w:r w:rsidRPr="001F3CA4">
        <w:rPr>
          <w:rFonts w:ascii="Trebuchet MS" w:eastAsia="Times New Roman" w:hAnsi="Trebuchet MS" w:cs="Helvetica"/>
          <w:b/>
          <w:bCs/>
          <w:color w:val="555555"/>
          <w:sz w:val="24"/>
          <w:szCs w:val="24"/>
          <w:bdr w:val="none" w:sz="0" w:space="0" w:color="auto" w:frame="1"/>
        </w:rPr>
        <w:t>Ratio</w:t>
      </w:r>
      <w:r w:rsidRPr="001F3CA4">
        <w:rPr>
          <w:rFonts w:ascii="Trebuchet MS" w:eastAsia="Times New Roman" w:hAnsi="Trebuchet MS" w:cs="Helvetica"/>
          <w:color w:val="555555"/>
          <w:sz w:val="24"/>
          <w:szCs w:val="24"/>
        </w:rPr>
        <w:t> scales give us the ultimate–order, interval values, plus the </w:t>
      </w:r>
      <w:r w:rsidRPr="001F3CA4">
        <w:rPr>
          <w:rFonts w:ascii="Trebuchet MS" w:eastAsia="Times New Roman" w:hAnsi="Trebuchet MS" w:cs="Helvetica"/>
          <w:i/>
          <w:iCs/>
          <w:color w:val="555555"/>
          <w:sz w:val="24"/>
          <w:szCs w:val="24"/>
          <w:bdr w:val="none" w:sz="0" w:space="0" w:color="auto" w:frame="1"/>
        </w:rPr>
        <w:t>ability to calculate ratios</w:t>
      </w:r>
      <w:r w:rsidRPr="001F3CA4">
        <w:rPr>
          <w:rFonts w:ascii="Trebuchet MS" w:eastAsia="Times New Roman" w:hAnsi="Trebuchet MS" w:cs="Helvetica"/>
          <w:color w:val="555555"/>
          <w:sz w:val="24"/>
          <w:szCs w:val="24"/>
        </w:rPr>
        <w:t> since a “true zero” can be defined.</w:t>
      </w:r>
    </w:p>
    <w:p w:rsidR="00332C58" w:rsidRPr="00580EE7" w:rsidRDefault="00332C58" w:rsidP="00580EE7">
      <w:pPr>
        <w:shd w:val="clear" w:color="auto" w:fill="FFFFFF"/>
        <w:spacing w:after="0" w:line="240" w:lineRule="auto"/>
        <w:textAlignment w:val="baseline"/>
        <w:outlineLvl w:val="1"/>
        <w:rPr>
          <w:rFonts w:ascii="Helvetica" w:eastAsia="Times New Roman" w:hAnsi="Helvetica" w:cs="Helvetica"/>
          <w:b/>
          <w:bCs/>
          <w:color w:val="555555"/>
          <w:sz w:val="33"/>
          <w:szCs w:val="33"/>
        </w:rPr>
      </w:pPr>
      <w:bookmarkStart w:id="0" w:name="_GoBack"/>
      <w:bookmarkEnd w:id="0"/>
    </w:p>
    <w:sectPr w:rsidR="00332C58" w:rsidRPr="00580EE7" w:rsidSect="000E0B08">
      <w:pgSz w:w="12240" w:h="19728" w:code="5"/>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38F"/>
    <w:rsid w:val="00025545"/>
    <w:rsid w:val="00056734"/>
    <w:rsid w:val="000E0B08"/>
    <w:rsid w:val="001F3CA4"/>
    <w:rsid w:val="00282F58"/>
    <w:rsid w:val="002A6E39"/>
    <w:rsid w:val="002B6072"/>
    <w:rsid w:val="00332C58"/>
    <w:rsid w:val="00580EE7"/>
    <w:rsid w:val="00686A01"/>
    <w:rsid w:val="007A53C6"/>
    <w:rsid w:val="007D5214"/>
    <w:rsid w:val="00892008"/>
    <w:rsid w:val="008F3F2A"/>
    <w:rsid w:val="00BB6A96"/>
    <w:rsid w:val="00C17AC9"/>
    <w:rsid w:val="00DA638F"/>
    <w:rsid w:val="00E12E54"/>
    <w:rsid w:val="00E501A1"/>
    <w:rsid w:val="00ED28C2"/>
    <w:rsid w:val="00F24B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9C40E6-8B18-485C-B60A-8BFBC63DC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6A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0B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0B0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hyperlink" Target="file:///E:\statistics\MSc%20Statistics\Types%20of%20data%20measurement%20scales%20%20nominal,%20ordinal,%20interval_files\ordinal-scales.png" TargetMode="External"/><Relationship Id="rId12" Type="http://schemas.openxmlformats.org/officeDocument/2006/relationships/hyperlink" Target="file:///E:\statistics\MSc%20Statistics\Types%20of%20data%20measurement%20scales%20%20nominal,%20ordinal,%20interval_files\example-of-ratio-scale.jpe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mymarketresearchmethods.com/descriptive-inferential-statistics-difference/" TargetMode="External"/><Relationship Id="rId5" Type="http://schemas.openxmlformats.org/officeDocument/2006/relationships/hyperlink" Target="http://www.mymarketresearchmethods.com/wp-content/uploads/2012/11/example-of-nominal-scales.png" TargetMode="Externa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hyperlink" Target="http://www.mymarketresearchmethods.com/quantitative-vs-qualitative-research-whats-the-difference/" TargetMode="External"/><Relationship Id="rId9" Type="http://schemas.openxmlformats.org/officeDocument/2006/relationships/hyperlink" Target="file:///E:\statistics\MSc%20Statistics\Types%20of%20data%20measurement%20scales%20%20nominal,%20ordinal,%20interval_files\example-of-interval-scale.jpe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Dr.Shakir</dc:creator>
  <cp:keywords/>
  <dc:description/>
  <cp:lastModifiedBy>Syed Shakir Ali</cp:lastModifiedBy>
  <cp:revision>20</cp:revision>
  <cp:lastPrinted>2019-04-03T04:44:00Z</cp:lastPrinted>
  <dcterms:created xsi:type="dcterms:W3CDTF">2017-10-01T00:17:00Z</dcterms:created>
  <dcterms:modified xsi:type="dcterms:W3CDTF">2019-04-03T04:44:00Z</dcterms:modified>
</cp:coreProperties>
</file>